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-1132205</wp:posOffset>
            </wp:positionH>
            <wp:positionV relativeFrom="paragraph">
              <wp:posOffset>-880110</wp:posOffset>
            </wp:positionV>
            <wp:extent cx="7538085" cy="10655300"/>
            <wp:effectExtent l="0" t="0" r="5715" b="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8085" cy="1065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</w:p>
    <w:p>
      <w:pPr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48"/>
          <w:szCs w:val="48"/>
          <w:lang w:eastAsia="zh-CN"/>
        </w:rPr>
      </w:pPr>
      <w:r>
        <w:rPr>
          <w:rFonts w:hint="eastAsia" w:ascii="Times New Roman" w:hAnsi="Times New Roman" w:eastAsia="宋体" w:cs="Times New Roman"/>
          <w:b/>
          <w:sz w:val="48"/>
          <w:szCs w:val="48"/>
          <w:lang w:eastAsia="zh-CN"/>
        </w:rPr>
        <w:t>浙江孚诺医药股份有限公司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sz w:val="52"/>
          <w:szCs w:val="52"/>
          <w:lang w:eastAsia="zh-CN"/>
        </w:rPr>
        <w:t>202</w:t>
      </w:r>
      <w:r>
        <w:rPr>
          <w:rFonts w:hint="eastAsia" w:ascii="Times New Roman" w:hAnsi="Times New Roman" w:eastAsia="宋体" w:cs="Times New Roman"/>
          <w:b/>
          <w:sz w:val="52"/>
          <w:szCs w:val="52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sz w:val="52"/>
          <w:szCs w:val="52"/>
        </w:rPr>
        <w:t>年度温室气体排放核查报告</w:t>
      </w:r>
    </w:p>
    <w:p>
      <w:pPr>
        <w:rPr>
          <w:rFonts w:ascii="Times New Roman" w:hAnsi="Times New Roman" w:eastAsia="宋体" w:cs="Times New Roman"/>
          <w:sz w:val="30"/>
          <w:szCs w:val="30"/>
        </w:rPr>
      </w:pPr>
    </w:p>
    <w:p>
      <w:pPr>
        <w:rPr>
          <w:rFonts w:ascii="Times New Roman" w:hAnsi="Times New Roman" w:eastAsia="宋体" w:cs="Times New Roman"/>
          <w:sz w:val="30"/>
          <w:szCs w:val="30"/>
        </w:rPr>
      </w:pPr>
    </w:p>
    <w:p>
      <w:pPr>
        <w:rPr>
          <w:rFonts w:ascii="Times New Roman" w:hAnsi="Times New Roman" w:eastAsia="宋体" w:cs="Times New Roman"/>
          <w:sz w:val="30"/>
          <w:szCs w:val="30"/>
        </w:rPr>
      </w:pPr>
    </w:p>
    <w:p>
      <w:pPr>
        <w:rPr>
          <w:rFonts w:ascii="Times New Roman" w:hAnsi="Times New Roman" w:eastAsia="宋体" w:cs="Times New Roman"/>
          <w:sz w:val="30"/>
          <w:szCs w:val="30"/>
        </w:rPr>
      </w:pPr>
    </w:p>
    <w:p>
      <w:pPr>
        <w:rPr>
          <w:rFonts w:ascii="Times New Roman" w:hAnsi="Times New Roman" w:eastAsia="宋体" w:cs="Times New Roman"/>
          <w:sz w:val="30"/>
          <w:szCs w:val="30"/>
        </w:rPr>
      </w:pPr>
    </w:p>
    <w:p>
      <w:pPr>
        <w:rPr>
          <w:rFonts w:ascii="Times New Roman" w:hAnsi="Times New Roman" w:eastAsia="宋体" w:cs="Times New Roman"/>
          <w:sz w:val="30"/>
          <w:szCs w:val="30"/>
        </w:rPr>
      </w:pPr>
    </w:p>
    <w:p>
      <w:pPr>
        <w:rPr>
          <w:rFonts w:ascii="Times New Roman" w:hAnsi="Times New Roman" w:eastAsia="宋体" w:cs="Times New Roman"/>
          <w:sz w:val="30"/>
          <w:szCs w:val="30"/>
        </w:rPr>
      </w:pPr>
    </w:p>
    <w:p>
      <w:pPr>
        <w:rPr>
          <w:rFonts w:ascii="Times New Roman" w:hAnsi="Times New Roman" w:eastAsia="宋体" w:cs="Times New Roman"/>
          <w:sz w:val="30"/>
          <w:szCs w:val="30"/>
        </w:rPr>
      </w:pPr>
    </w:p>
    <w:p>
      <w:pPr>
        <w:rPr>
          <w:rFonts w:ascii="Times New Roman" w:hAnsi="Times New Roman" w:eastAsia="宋体" w:cs="Times New Roman"/>
          <w:sz w:val="30"/>
          <w:szCs w:val="30"/>
        </w:rPr>
      </w:pPr>
    </w:p>
    <w:p>
      <w:pPr>
        <w:rPr>
          <w:rFonts w:ascii="Times New Roman" w:hAnsi="Times New Roman" w:eastAsia="宋体" w:cs="Times New Roman"/>
          <w:sz w:val="30"/>
          <w:szCs w:val="30"/>
        </w:rPr>
      </w:pPr>
    </w:p>
    <w:p>
      <w:pPr>
        <w:rPr>
          <w:rFonts w:ascii="Times New Roman" w:hAnsi="Times New Roman" w:eastAsia="宋体" w:cs="Times New Roman"/>
          <w:sz w:val="30"/>
          <w:szCs w:val="30"/>
        </w:rPr>
      </w:pPr>
    </w:p>
    <w:p>
      <w:pPr>
        <w:ind w:left="0" w:leftChars="0" w:right="0" w:rightChars="0" w:firstLine="0" w:firstLineChars="0"/>
        <w:jc w:val="center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ascii="Times New Roman" w:hAnsi="Times New Roman" w:eastAsia="宋体" w:cs="Times New Roman"/>
          <w:sz w:val="30"/>
          <w:szCs w:val="30"/>
        </w:rPr>
        <w:t>核查机构名称（盖章）：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浙江国发节能环保科技有限公司</w:t>
      </w:r>
    </w:p>
    <w:p>
      <w:pPr>
        <w:ind w:left="0" w:leftChars="0" w:right="0" w:rightChars="0" w:firstLine="0" w:firstLineChars="0"/>
        <w:jc w:val="center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核查报告签发日期：20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23</w:t>
      </w:r>
      <w:r>
        <w:rPr>
          <w:rFonts w:ascii="Times New Roman" w:hAnsi="Times New Roman" w:eastAsia="宋体" w:cs="Times New Roman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宋体" w:cs="Times New Roman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25</w:t>
      </w:r>
      <w:r>
        <w:rPr>
          <w:rFonts w:ascii="Times New Roman" w:hAnsi="Times New Roman" w:eastAsia="宋体" w:cs="Times New Roman"/>
          <w:sz w:val="30"/>
          <w:szCs w:val="30"/>
        </w:rPr>
        <w:t>日</w:t>
      </w:r>
    </w:p>
    <w:p>
      <w:pPr>
        <w:rPr>
          <w:rFonts w:ascii="Times New Roman" w:hAnsi="Times New Roman" w:eastAsia="宋体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4012"/>
        <w:gridCol w:w="975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0" w:hRule="atLeast"/>
          <w:jc w:val="center"/>
        </w:trPr>
        <w:tc>
          <w:tcPr>
            <w:tcW w:w="8296" w:type="dxa"/>
            <w:gridSpan w:val="4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核查结论：</w:t>
            </w:r>
          </w:p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核查组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通过对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浙江孚诺医药股份有限公司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开展的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文件评审和现场核查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，在核查发现得到关闭或澄清之后，核查组认为：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浙江孚诺医药股份有限公司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报告的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度温室气体排放信息和数据是可核查的，且满足核查准则的要求。</w:t>
            </w:r>
          </w:p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经核查，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浙江孚诺医药股份有限公司202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度排放量为：</w:t>
            </w:r>
          </w:p>
          <w:tbl>
            <w:tblPr>
              <w:tblStyle w:val="5"/>
              <w:tblW w:w="4998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6"/>
              <w:gridCol w:w="3449"/>
              <w:gridCol w:w="32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984" w:type="pct"/>
                  <w:gridSpan w:val="2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排放源类别</w:t>
                  </w:r>
                </w:p>
              </w:tc>
              <w:tc>
                <w:tcPr>
                  <w:tcW w:w="2015" w:type="pct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排放量（</w:t>
                  </w:r>
                  <w:r>
                    <w:rPr>
                      <w:rFonts w:ascii="Times New Roman" w:hAnsi="Times New Roman" w:eastAsia="宋体" w:cs="Times New Roman"/>
                      <w:b/>
                      <w:szCs w:val="21"/>
                    </w:rPr>
                    <w:t>tCO</w:t>
                  </w:r>
                  <w:r>
                    <w:rPr>
                      <w:rFonts w:ascii="Times New Roman" w:hAnsi="Times New Roman" w:eastAsia="宋体" w:cs="Times New Roman"/>
                      <w:b/>
                      <w:szCs w:val="21"/>
                      <w:vertAlign w:val="subscript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984" w:type="pct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化石燃料燃烧排放(tCO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vertAlign w:val="subscript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)</w:t>
                  </w:r>
                </w:p>
              </w:tc>
              <w:tc>
                <w:tcPr>
                  <w:tcW w:w="2015" w:type="pct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984" w:type="pct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CO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vertAlign w:val="subscript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回收量(tCO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vertAlign w:val="subscript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)</w:t>
                  </w:r>
                </w:p>
              </w:tc>
              <w:tc>
                <w:tcPr>
                  <w:tcW w:w="2015" w:type="pct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847" w:type="pct"/>
                  <w:vMerge w:val="restart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企业温室气体排放总量</w:t>
                  </w:r>
                </w:p>
              </w:tc>
              <w:tc>
                <w:tcPr>
                  <w:tcW w:w="2136" w:type="pct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不包括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净购入电力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隐含的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CO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vertAlign w:val="subscript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Cs w:val="21"/>
                    </w:rPr>
                    <w:t>排放</w:t>
                  </w:r>
                </w:p>
              </w:tc>
              <w:tc>
                <w:tcPr>
                  <w:tcW w:w="2015" w:type="pct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47" w:type="pct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136" w:type="pct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包括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净购入电力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隐含的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CO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vertAlign w:val="subscript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Cs w:val="21"/>
                    </w:rPr>
                    <w:t>排放</w:t>
                  </w:r>
                </w:p>
              </w:tc>
              <w:tc>
                <w:tcPr>
                  <w:tcW w:w="2015" w:type="pct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  <w:lang w:val="en-US" w:eastAsia="zh-CN"/>
                    </w:rPr>
                    <w:t>748.97</w:t>
                  </w:r>
                </w:p>
              </w:tc>
            </w:tr>
          </w:tbl>
          <w:p>
            <w:pPr>
              <w:autoSpaceDE w:val="0"/>
              <w:autoSpaceDN w:val="0"/>
              <w:adjustRightInd w:val="0"/>
              <w:spacing w:line="240" w:lineRule="auto"/>
              <w:ind w:firstLine="56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经核查，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浙江孚诺医药股份有限公司202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度二氧化碳总排量为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748.97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CO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，外购电力的排放量为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748.97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CO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。</w:t>
            </w:r>
          </w:p>
          <w:p>
            <w:pPr>
              <w:spacing w:line="240" w:lineRule="auto"/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度的核查过程中无未覆盖的问题。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核查组长</w:t>
            </w:r>
          </w:p>
        </w:tc>
        <w:tc>
          <w:tcPr>
            <w:tcW w:w="40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陈伟</w:t>
            </w:r>
          </w:p>
        </w:tc>
        <w:tc>
          <w:tcPr>
            <w:tcW w:w="9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核查组成员</w:t>
            </w:r>
          </w:p>
        </w:tc>
        <w:tc>
          <w:tcPr>
            <w:tcW w:w="667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李玉娟、沈杨银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技术复核人</w:t>
            </w:r>
          </w:p>
        </w:tc>
        <w:tc>
          <w:tcPr>
            <w:tcW w:w="40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王春海</w:t>
            </w:r>
          </w:p>
        </w:tc>
        <w:tc>
          <w:tcPr>
            <w:tcW w:w="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批准人</w:t>
            </w:r>
          </w:p>
        </w:tc>
        <w:tc>
          <w:tcPr>
            <w:tcW w:w="40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翟宝庆</w:t>
            </w:r>
          </w:p>
        </w:tc>
        <w:tc>
          <w:tcPr>
            <w:tcW w:w="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2024年4月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 w:cs="Times New Roman"/>
          <w:sz w:val="28"/>
          <w:szCs w:val="28"/>
        </w:rPr>
      </w:pPr>
      <w:bookmarkStart w:id="0" w:name="_Toc23344"/>
      <w:r>
        <w:rPr>
          <w:rFonts w:ascii="Times New Roman" w:hAnsi="Times New Roman" w:eastAsia="宋体" w:cs="Times New Roman"/>
          <w:sz w:val="28"/>
          <w:szCs w:val="28"/>
        </w:rPr>
        <w:t>4. 核查结论</w:t>
      </w:r>
      <w:bookmarkEnd w:id="0"/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核查组通过对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浙江孚诺医药股份有限公司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开展的文件评审和现场核查，在核查发现得到关闭或澄清之后，核查组得出如下结论：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1）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浙江孚诺医药股份有限公司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报告的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年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度温室气体排放信息和数据是可核查的，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且满足核查准则的要求。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度的排放报告与核算方法符合《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工业其它行业企业温室气体排放核算方法与报告指南（试行）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》的要求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2）经核查，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浙江孚诺医药股份有限公司202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年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度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企业法人边界的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二氧化碳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排放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量如下所示：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jc w:val="center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kern w:val="0"/>
          <w:szCs w:val="21"/>
        </w:rPr>
        <w:t>表</w:t>
      </w:r>
      <w:r>
        <w:rPr>
          <w:rFonts w:ascii="Times New Roman" w:hAnsi="Times New Roman" w:eastAsia="宋体" w:cs="Times New Roman"/>
          <w:b/>
          <w:kern w:val="0"/>
          <w:szCs w:val="21"/>
        </w:rPr>
        <w:t>4-1</w:t>
      </w:r>
      <w:r>
        <w:rPr>
          <w:rFonts w:hint="eastAsia" w:ascii="Times New Roman" w:hAnsi="Times New Roman" w:eastAsia="宋体" w:cs="Times New Roman"/>
          <w:b/>
          <w:kern w:val="0"/>
          <w:szCs w:val="21"/>
        </w:rPr>
        <w:t>核查结果表</w:t>
      </w:r>
    </w:p>
    <w:tbl>
      <w:tblPr>
        <w:tblStyle w:val="5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627"/>
        <w:gridCol w:w="3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  <w:t>年度</w:t>
            </w:r>
          </w:p>
        </w:tc>
        <w:tc>
          <w:tcPr>
            <w:tcW w:w="363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排放源类别</w:t>
            </w:r>
          </w:p>
        </w:tc>
        <w:tc>
          <w:tcPr>
            <w:tcW w:w="3634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排放量（tCO</w:t>
            </w:r>
            <w:r>
              <w:rPr>
                <w:rFonts w:hint="default" w:ascii="Times New Roman" w:hAnsi="Times New Roman" w:eastAsia="宋体" w:cs="Times New Roman"/>
                <w:b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化石燃料燃烧排放(tCO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36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CO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回收量(tCO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36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企业温室气体排放总量</w:t>
            </w:r>
          </w:p>
        </w:tc>
        <w:tc>
          <w:tcPr>
            <w:tcW w:w="36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不包括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净购入电力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隐含的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CO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Cs w:val="21"/>
              </w:rPr>
              <w:t>排放</w:t>
            </w:r>
          </w:p>
        </w:tc>
        <w:tc>
          <w:tcPr>
            <w:tcW w:w="36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包括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净购入电力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隐含的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CO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Cs w:val="21"/>
              </w:rPr>
              <w:t>排放</w:t>
            </w:r>
          </w:p>
        </w:tc>
        <w:tc>
          <w:tcPr>
            <w:tcW w:w="36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748.97</w:t>
            </w:r>
          </w:p>
        </w:tc>
      </w:tr>
    </w:tbl>
    <w:p>
      <w:pPr>
        <w:widowControl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浙江孚诺医药股份有限公司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</w:rPr>
        <w:t>度补充数据表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受核查方为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化学药品制剂制造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企业</w:t>
      </w:r>
      <w:r>
        <w:rPr>
          <w:rFonts w:hint="eastAsia" w:ascii="Times New Roman" w:hAnsi="Times New Roman" w:eastAsia="宋体" w:cs="Times New Roman"/>
          <w:sz w:val="28"/>
          <w:szCs w:val="28"/>
        </w:rPr>
        <w:t>，产品为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复方多粘菌素B软膏</w:t>
      </w:r>
      <w:r>
        <w:rPr>
          <w:rFonts w:hint="eastAsia" w:ascii="Times New Roman" w:hAnsi="Times New Roman" w:eastAsia="宋体" w:cs="Times New Roman"/>
          <w:sz w:val="28"/>
          <w:szCs w:val="28"/>
        </w:rPr>
        <w:t>。依据国家相关文件，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电子专用材料制造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企业</w:t>
      </w:r>
      <w:r>
        <w:rPr>
          <w:rFonts w:hint="eastAsia" w:ascii="Times New Roman" w:hAnsi="Times New Roman" w:eastAsia="宋体" w:cs="Times New Roman"/>
          <w:sz w:val="28"/>
          <w:szCs w:val="28"/>
        </w:rPr>
        <w:t>没有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硅环</w:t>
      </w:r>
      <w:r>
        <w:rPr>
          <w:rFonts w:hint="eastAsia" w:ascii="Times New Roman" w:hAnsi="Times New Roman" w:eastAsia="宋体" w:cs="Times New Roman"/>
          <w:sz w:val="28"/>
          <w:szCs w:val="28"/>
        </w:rPr>
        <w:t>的《补充数据表》，故不对《补充数据》进行核查。</w:t>
      </w:r>
    </w:p>
    <w:p>
      <w:pPr>
        <w:widowControl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浙江孚诺医药股份有限公司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</w:rPr>
        <w:t>度的核查过程中未覆盖的问题有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由于外购电的电表由电力公司负责管控，因此未能核查该仪表的检定信息。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1781975"/>
      <w:docPartObj>
        <w:docPartGallery w:val="autotext"/>
      </w:docPartObj>
    </w:sdtPr>
    <w:sdtContent>
      <w:p>
        <w:pPr>
          <w:pStyle w:val="3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WFjZTVhM2EwYWUwZWFkMDVmMjBkZTlkN2Q5N2IifQ=="/>
  </w:docVars>
  <w:rsids>
    <w:rsidRoot w:val="270F276F"/>
    <w:rsid w:val="17CD3BFE"/>
    <w:rsid w:val="270F276F"/>
    <w:rsid w:val="4FB3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799</Words>
  <Characters>914</Characters>
  <Lines>0</Lines>
  <Paragraphs>0</Paragraphs>
  <TotalTime>1</TotalTime>
  <ScaleCrop>false</ScaleCrop>
  <LinksUpToDate>false</LinksUpToDate>
  <CharactersWithSpaces>915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2024-06-13T06:52:00Z</dcterms:created>
  <dc:creator>莘</dc:creator>
  <cp:lastModifiedBy>莘</cp:lastModifiedBy>
  <dcterms:modified xsi:type="dcterms:W3CDTF">2024-06-13T07:21:36Z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61CB15129C6744F0A6B81AA3489937E9_11</vt:lpwstr>
  </property>
</Properties>
</file>